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25BD" w:rsidRPr="002A25BD" w:rsidRDefault="00094F86" w:rsidP="00AC0854">
      <w:pPr>
        <w:pStyle w:val="1"/>
        <w:keepNext/>
        <w:keepLines/>
        <w:widowControl w:val="0"/>
        <w:spacing w:before="340" w:beforeAutospacing="0" w:after="330" w:afterAutospacing="0" w:line="578" w:lineRule="auto"/>
        <w:jc w:val="center"/>
        <w:rPr>
          <w:rFonts w:ascii="Tahoma" w:hAnsi="Tahoma" w:cs="Tahoma"/>
          <w:b w:val="0"/>
          <w:bCs w:val="0"/>
          <w:color w:val="222222"/>
        </w:rPr>
      </w:pPr>
      <w:r>
        <w:rPr>
          <w:rFonts w:ascii="微软雅黑" w:eastAsia="微软雅黑" w:hAnsi="微软雅黑" w:cstheme="minorBidi"/>
          <w:noProof/>
          <w:kern w:val="44"/>
          <w:sz w:val="32"/>
          <w:szCs w:val="32"/>
        </w:rPr>
        <w:drawing>
          <wp:inline distT="0" distB="0" distL="0" distR="0">
            <wp:extent cx="5274310" cy="3271520"/>
            <wp:effectExtent l="19050" t="0" r="2540" b="0"/>
            <wp:docPr id="1" name="图片 0" descr="t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g.jpg"/>
                    <pic:cNvPicPr/>
                  </pic:nvPicPr>
                  <pic:blipFill>
                    <a:blip r:embed="rId7"/>
                    <a:stretch>
                      <a:fillRect/>
                    </a:stretch>
                  </pic:blipFill>
                  <pic:spPr>
                    <a:xfrm>
                      <a:off x="0" y="0"/>
                      <a:ext cx="5274310" cy="3271520"/>
                    </a:xfrm>
                    <a:prstGeom prst="rect">
                      <a:avLst/>
                    </a:prstGeom>
                  </pic:spPr>
                </pic:pic>
              </a:graphicData>
            </a:graphic>
          </wp:inline>
        </w:drawing>
      </w:r>
      <w:r w:rsidR="002A25BD" w:rsidRPr="00AC0854">
        <w:rPr>
          <w:rFonts w:ascii="微软雅黑" w:eastAsia="微软雅黑" w:hAnsi="微软雅黑" w:cstheme="minorBidi"/>
          <w:kern w:val="44"/>
          <w:sz w:val="32"/>
          <w:szCs w:val="32"/>
        </w:rPr>
        <w:t>中华人民共和国环境影响评价法(2018年修订)</w:t>
      </w:r>
    </w:p>
    <w:p w:rsidR="002A25BD" w:rsidRPr="00C86BF7" w:rsidRDefault="00AC0854" w:rsidP="002A25BD">
      <w:pPr>
        <w:widowControl/>
        <w:spacing w:after="375" w:line="600" w:lineRule="atLeast"/>
        <w:ind w:firstLine="480"/>
        <w:jc w:val="left"/>
        <w:rPr>
          <w:rFonts w:ascii="微软雅黑" w:eastAsia="微软雅黑" w:hAnsi="微软雅黑" w:cs="Tahoma"/>
          <w:kern w:val="0"/>
          <w:sz w:val="24"/>
          <w:szCs w:val="24"/>
        </w:rPr>
      </w:pPr>
      <w:r w:rsidRPr="00AC0854">
        <w:rPr>
          <w:rFonts w:ascii="微软雅黑" w:eastAsia="微软雅黑" w:hAnsi="微软雅黑" w:cs="Tahoma"/>
          <w:color w:val="666666"/>
          <w:kern w:val="0"/>
          <w:sz w:val="24"/>
          <w:szCs w:val="24"/>
        </w:rPr>
        <w:t xml:space="preserve"> </w:t>
      </w:r>
      <w:r w:rsidR="002A25BD" w:rsidRPr="00C86BF7">
        <w:rPr>
          <w:rFonts w:ascii="微软雅黑" w:eastAsia="微软雅黑" w:hAnsi="微软雅黑" w:cs="Tahoma"/>
          <w:kern w:val="0"/>
          <w:sz w:val="24"/>
          <w:szCs w:val="24"/>
        </w:rPr>
        <w:t>(2002年10月28日第九届全国人民代表大会常务委员会第三十次会议通过　根据2016年7月2日第十二届全国人民代表大会常务委员会第二十一次会议通过的《全国人民代表大会常务委员会关于修改〈中华人民共和国节约能源法〉等六部法律的决定》第一次修改，根据2018年《全国人民代表大会常务委员会关于修改《中华人民共和国</w:t>
      </w:r>
      <w:hyperlink r:id="rId8" w:tgtFrame="_blank" w:tooltip="劳动法" w:history="1">
        <w:r w:rsidR="002A25BD" w:rsidRPr="00C86BF7">
          <w:rPr>
            <w:rFonts w:ascii="微软雅黑" w:eastAsia="微软雅黑" w:hAnsi="微软雅黑" w:cs="Tahoma"/>
            <w:kern w:val="0"/>
            <w:sz w:val="24"/>
            <w:szCs w:val="24"/>
          </w:rPr>
          <w:t>劳动法</w:t>
        </w:r>
      </w:hyperlink>
      <w:r w:rsidR="002A25BD" w:rsidRPr="00C86BF7">
        <w:rPr>
          <w:rFonts w:ascii="微软雅黑" w:eastAsia="微软雅黑" w:hAnsi="微软雅黑" w:cs="Tahoma"/>
          <w:kern w:val="0"/>
          <w:sz w:val="24"/>
          <w:szCs w:val="24"/>
        </w:rPr>
        <w:t>》等七部法律的决定(2018年12月29日第十三届全国人民代表大会常务委员会第七次会议通过)》第二次修改)</w:t>
      </w:r>
    </w:p>
    <w:p w:rsidR="002A25BD" w:rsidRPr="00FC055D" w:rsidRDefault="002A25BD" w:rsidP="002A25BD">
      <w:pPr>
        <w:widowControl/>
        <w:spacing w:after="525" w:line="450" w:lineRule="atLeast"/>
        <w:jc w:val="left"/>
        <w:outlineLvl w:val="2"/>
        <w:rPr>
          <w:rFonts w:ascii="微软雅黑" w:eastAsia="微软雅黑" w:hAnsi="微软雅黑" w:cs="Tahoma"/>
          <w:color w:val="222222"/>
          <w:kern w:val="0"/>
          <w:sz w:val="30"/>
          <w:szCs w:val="30"/>
        </w:rPr>
      </w:pPr>
      <w:bookmarkStart w:id="0" w:name="第一章_总则"/>
      <w:bookmarkEnd w:id="0"/>
      <w:r w:rsidRPr="00FC055D">
        <w:rPr>
          <w:rFonts w:ascii="微软雅黑" w:eastAsia="微软雅黑" w:hAnsi="微软雅黑" w:cs="Tahoma"/>
          <w:color w:val="222222"/>
          <w:kern w:val="0"/>
          <w:sz w:val="30"/>
          <w:szCs w:val="30"/>
        </w:rPr>
        <w:t>第一章 总则</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第一条 为了实施可持续发展战略，预防因规划和建设项目实施后对环境造成不良影响，促进经济、社会和环境的协调发展，制定本法。</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lastRenderedPageBreak/>
        <w:t>第二条</w:t>
      </w:r>
      <w:r w:rsidRPr="00AC0854">
        <w:rPr>
          <w:rFonts w:ascii="微软雅黑" w:eastAsia="微软雅黑" w:hAnsi="微软雅黑" w:cs="Tahoma"/>
          <w:color w:val="666666"/>
          <w:kern w:val="0"/>
          <w:sz w:val="24"/>
          <w:szCs w:val="24"/>
        </w:rPr>
        <w:t> </w:t>
      </w:r>
      <w:r w:rsidRPr="00D6750C">
        <w:rPr>
          <w:rFonts w:ascii="微软雅黑" w:eastAsia="微软雅黑" w:hAnsi="微软雅黑" w:cs="Tahoma"/>
          <w:color w:val="FF0000"/>
          <w:kern w:val="0"/>
          <w:sz w:val="24"/>
          <w:szCs w:val="24"/>
        </w:rPr>
        <w:t>本法所称环境影响评价，是指对规划和建设项目实施后可能造成的环境影响进行分析、预测和评估，提出预防或者减轻不良环境影响的对策和措施，进行跟踪监测的方法与制度。</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第三条  编制本法第九条所规定的范围内的规划，在中华人民共和国领域和中华人民共和国管辖的其他海域内建设对环境有影响的项目，应当依照本法进行环境影响评价。</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第四条 环境影响评价必须客观、公开、公正，综合考虑规划或者建设项目实施后对各种环境因素及其所构成的生态系统可能造成的影响，为决策提供科学依据。</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第五条 国家鼓励有关单位、专家和公众以适当方式参与环境影响评价。</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第六条 国家加强环境影响评价的基础数据库和评价指标体系建设，鼓励和支持对环境影响评价的方法、技术规范进行科学研究，建立必要的环境影响评价信息共享制度，提高环境影响评价的科学性。</w:t>
      </w:r>
    </w:p>
    <w:p w:rsidR="002A25BD" w:rsidRPr="00C86BF7" w:rsidRDefault="002A25BD" w:rsidP="002A25BD">
      <w:pPr>
        <w:widowControl/>
        <w:spacing w:after="375" w:line="600" w:lineRule="atLeast"/>
        <w:ind w:firstLine="480"/>
        <w:jc w:val="left"/>
        <w:rPr>
          <w:rFonts w:ascii="Tahoma" w:eastAsia="宋体" w:hAnsi="Tahoma" w:cs="Tahoma"/>
          <w:kern w:val="0"/>
          <w:sz w:val="24"/>
          <w:szCs w:val="24"/>
        </w:rPr>
      </w:pPr>
      <w:r w:rsidRPr="00C86BF7">
        <w:rPr>
          <w:rFonts w:ascii="微软雅黑" w:eastAsia="微软雅黑" w:hAnsi="微软雅黑" w:cs="Tahoma"/>
          <w:kern w:val="0"/>
          <w:sz w:val="24"/>
          <w:szCs w:val="24"/>
        </w:rPr>
        <w:t>国务院生态环境主管部门应当会同国务院有关部门，组织建立和完善环境影响评价的基础数据库和评价指标体系。</w:t>
      </w:r>
    </w:p>
    <w:p w:rsidR="002A25BD" w:rsidRPr="00C86BF7" w:rsidRDefault="002A25BD" w:rsidP="002A25BD">
      <w:pPr>
        <w:widowControl/>
        <w:spacing w:after="525" w:line="450" w:lineRule="atLeast"/>
        <w:jc w:val="left"/>
        <w:outlineLvl w:val="2"/>
        <w:rPr>
          <w:rFonts w:ascii="微软雅黑" w:eastAsia="微软雅黑" w:hAnsi="微软雅黑" w:cs="Tahoma"/>
          <w:kern w:val="0"/>
          <w:sz w:val="30"/>
          <w:szCs w:val="30"/>
        </w:rPr>
      </w:pPr>
      <w:bookmarkStart w:id="1" w:name="第二章_规划的环境影响评价"/>
      <w:bookmarkEnd w:id="1"/>
      <w:r w:rsidRPr="00C86BF7">
        <w:rPr>
          <w:rFonts w:ascii="微软雅黑" w:eastAsia="微软雅黑" w:hAnsi="微软雅黑" w:cs="Tahoma"/>
          <w:kern w:val="0"/>
          <w:sz w:val="30"/>
          <w:szCs w:val="30"/>
        </w:rPr>
        <w:t>第二章 规划的环境影响评价</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第七条 国务院有关部门、设区的市级以上地方人民政府及其有关部门，对其组织编制的土地利用的有关规划，区域、流域、海域的建设、开发利用规划，</w:t>
      </w:r>
      <w:r w:rsidRPr="00C86BF7">
        <w:rPr>
          <w:rFonts w:ascii="微软雅黑" w:eastAsia="微软雅黑" w:hAnsi="微软雅黑" w:cs="Tahoma"/>
          <w:kern w:val="0"/>
          <w:sz w:val="24"/>
          <w:szCs w:val="24"/>
        </w:rPr>
        <w:lastRenderedPageBreak/>
        <w:t>应当在规划编制过程中组织进行环境影响评价，编写该规划有关环境影响的篇章或者说明。</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规划有关环境影响的篇章或者说明，应当对规划实施后可能造成的环境影响作出分析、预测和评估，提出预防或者减轻不良环境影响的对策和措施，作为规划草案的组成部分一并报送规划审批机关。</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未编写有关环境影响的篇章或者说明的规划草案，审批机关不予审批。</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第八条 国务院有关部门、设区的市级以上地方人民政府及其有关部门，对其组织编制的工业、农业、畜牧业、林业、能源、水利、交通、城市建设、旅游、自然资源开发的有关专项规划(以下简称专项规划)，应当在该专项规划草案上报审批前，组织进行环境影响评价，并向审批该专项规划的机关提出环境影响报告书。</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前款所列专项规划中的指导性规划，按照本法第七条的规定进行环境影响评价。</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第九条 依照本法第七条、第八条的规定进行环境影响评价的规划的具体范围，由国务院生态环境主管部门会同国务院有关部门规定，报国务院批准。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第十条 专项规划的环境影响报告书应当包括下列内容：</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(一)实施该规划对环境可能造成影响的分析、预测和评估;</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(二)预防或者减轻不良环境影响的对策和措施;</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(三)环境影响评价的结论。</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第十一条 专项规划的编制机关对可能造成不良环境影响并直接涉及公众环境权益的规划，应当在该规划草案报送审批前，举行论证会、听证会，或者采取其他形式，征求有关单位、专家和公众对环境影响报告书草案的意见。但是，国家规定需要保密的情形除外。</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编制机关应当认真考虑有关单位、专家和公众对环境影响报告书草案的意见，并应当在报送审查的环境影响报告书中附具对意见采纳或者不采纳的说明。</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第十二条 专项规划的编制机关在报批规划草案时，应当将环境影响报告书一并附送审批机关审查;未附送环境影响报告书的，审批机关不予审批。</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第十三条 设区的市级以上人民政府在审批专项规划草案，作出决策前，应当先由人民政府指定的生态环境主管部门或者其他部门召集有关部门代表和专家组成审查小组，对环境影响报告书进行审查。审查小组应当提出书面审查意见。</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参加前款规定的审查小组的专家，应当从按照国务院生态环境主管部门的规定设立的专家库内的相关专业的专家名单中，以随机抽取的方式确定。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由省级以上人民政府有关部门负责审批的专项规划，其环境影响报告书的审查办法，由国务院生态环境主管部门会同国务院有关部门制定。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第十四条 审查小组提出修改意见的，专项规划的编制机关应当根据环境影响报告书结论和审查意见对规划草案进行修改完善，并对环境影响报告书结论和审查意见的采纳情况作出说明;不采纳的，应当说明理由。</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设区的市级以上人民政府或者省级以上人民政府有关部门在审批专项规划草案时，应当将环境影响报告书结论以及审查意见作为决策的重要依据。</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在审批中未采纳环境影响报告书结论以及审查意见的，应当作出说明，并存档备查。</w:t>
      </w:r>
    </w:p>
    <w:p w:rsidR="002A25BD" w:rsidRPr="00C86BF7" w:rsidRDefault="002A25BD" w:rsidP="002A25BD">
      <w:pPr>
        <w:widowControl/>
        <w:spacing w:after="375" w:line="600" w:lineRule="atLeast"/>
        <w:ind w:firstLine="480"/>
        <w:jc w:val="left"/>
        <w:rPr>
          <w:rFonts w:ascii="Tahoma" w:eastAsia="宋体" w:hAnsi="Tahoma" w:cs="Tahoma"/>
          <w:kern w:val="0"/>
          <w:sz w:val="24"/>
          <w:szCs w:val="24"/>
        </w:rPr>
      </w:pPr>
      <w:r w:rsidRPr="00C86BF7">
        <w:rPr>
          <w:rFonts w:ascii="微软雅黑" w:eastAsia="微软雅黑" w:hAnsi="微软雅黑" w:cs="Tahoma"/>
          <w:kern w:val="0"/>
          <w:sz w:val="24"/>
          <w:szCs w:val="24"/>
        </w:rPr>
        <w:t>第十五条 对环境有重大影响的规划实施后，编制机关应当及时组织环境影响的跟踪评价，并将评价结果报告审批机关;发现有明显不良环境影响的，应当及时提出改进措施。</w:t>
      </w:r>
    </w:p>
    <w:p w:rsidR="002A25BD" w:rsidRPr="00C86BF7" w:rsidRDefault="002A25BD" w:rsidP="002A25BD">
      <w:pPr>
        <w:widowControl/>
        <w:spacing w:after="525" w:line="450" w:lineRule="atLeast"/>
        <w:jc w:val="left"/>
        <w:outlineLvl w:val="2"/>
        <w:rPr>
          <w:rFonts w:ascii="微软雅黑" w:eastAsia="微软雅黑" w:hAnsi="微软雅黑" w:cs="Tahoma"/>
          <w:kern w:val="0"/>
          <w:sz w:val="30"/>
          <w:szCs w:val="30"/>
        </w:rPr>
      </w:pPr>
      <w:bookmarkStart w:id="2" w:name="第三章_建设项目的环境影响评价"/>
      <w:bookmarkEnd w:id="2"/>
      <w:r w:rsidRPr="00C86BF7">
        <w:rPr>
          <w:rFonts w:ascii="微软雅黑" w:eastAsia="微软雅黑" w:hAnsi="微软雅黑" w:cs="Tahoma"/>
          <w:kern w:val="0"/>
          <w:sz w:val="30"/>
          <w:szCs w:val="30"/>
        </w:rPr>
        <w:t>第三章 建设项目的环境影响评价</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第十六条</w:t>
      </w:r>
      <w:r w:rsidRPr="00AC0854">
        <w:rPr>
          <w:rFonts w:ascii="微软雅黑" w:eastAsia="微软雅黑" w:hAnsi="微软雅黑" w:cs="Tahoma"/>
          <w:color w:val="666666"/>
          <w:kern w:val="0"/>
          <w:sz w:val="24"/>
          <w:szCs w:val="24"/>
        </w:rPr>
        <w:t> </w:t>
      </w:r>
      <w:r w:rsidRPr="00273394">
        <w:rPr>
          <w:rFonts w:ascii="微软雅黑" w:eastAsia="微软雅黑" w:hAnsi="微软雅黑" w:cs="Tahoma"/>
          <w:color w:val="FF0000"/>
          <w:kern w:val="0"/>
          <w:sz w:val="24"/>
          <w:szCs w:val="24"/>
        </w:rPr>
        <w:t>国家根据建设项目对环境的影响程度，对建设项目的环境影响评价实行分类管理。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建设单位应当按照下列规定组织编制环境影响报告书、环境影响报告表或者填报环境影响登记表(以下统称环境影响评价文件)：</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AC0854">
        <w:rPr>
          <w:rFonts w:ascii="微软雅黑" w:eastAsia="微软雅黑" w:hAnsi="微软雅黑" w:cs="Tahoma"/>
          <w:color w:val="666666"/>
          <w:kern w:val="0"/>
          <w:sz w:val="24"/>
          <w:szCs w:val="24"/>
        </w:rPr>
        <w:t>(一)</w:t>
      </w:r>
      <w:r w:rsidRPr="00EB3C1E">
        <w:rPr>
          <w:rFonts w:ascii="微软雅黑" w:eastAsia="微软雅黑" w:hAnsi="微软雅黑" w:cs="Tahoma"/>
          <w:color w:val="FF0000"/>
          <w:kern w:val="0"/>
          <w:sz w:val="24"/>
          <w:szCs w:val="24"/>
        </w:rPr>
        <w:t>可能造成重大环境影响的，应当编制环境影响报告书，对产生的环境影响进行全面评价;</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AC0854">
        <w:rPr>
          <w:rFonts w:ascii="微软雅黑" w:eastAsia="微软雅黑" w:hAnsi="微软雅黑" w:cs="Tahoma"/>
          <w:color w:val="666666"/>
          <w:kern w:val="0"/>
          <w:sz w:val="24"/>
          <w:szCs w:val="24"/>
        </w:rPr>
        <w:lastRenderedPageBreak/>
        <w:t>(二)</w:t>
      </w:r>
      <w:r w:rsidRPr="00EB3C1E">
        <w:rPr>
          <w:rFonts w:ascii="微软雅黑" w:eastAsia="微软雅黑" w:hAnsi="微软雅黑" w:cs="Tahoma"/>
          <w:color w:val="FF0000"/>
          <w:kern w:val="0"/>
          <w:sz w:val="24"/>
          <w:szCs w:val="24"/>
        </w:rPr>
        <w:t>可能造成轻度环境影响的，应当编制环境影响报告表，对产生的环境影响进行分析或者专项评价;</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AC0854">
        <w:rPr>
          <w:rFonts w:ascii="微软雅黑" w:eastAsia="微软雅黑" w:hAnsi="微软雅黑" w:cs="Tahoma"/>
          <w:color w:val="666666"/>
          <w:kern w:val="0"/>
          <w:sz w:val="24"/>
          <w:szCs w:val="24"/>
        </w:rPr>
        <w:t>(三)</w:t>
      </w:r>
      <w:r w:rsidRPr="00EB3C1E">
        <w:rPr>
          <w:rFonts w:ascii="微软雅黑" w:eastAsia="微软雅黑" w:hAnsi="微软雅黑" w:cs="Tahoma"/>
          <w:color w:val="FF0000"/>
          <w:kern w:val="0"/>
          <w:sz w:val="24"/>
          <w:szCs w:val="24"/>
        </w:rPr>
        <w:t>对环境影响很小、不需要进行环境影响评价的，应当填报环境影响登记表</w:t>
      </w:r>
      <w:r w:rsidRPr="00AC0854">
        <w:rPr>
          <w:rFonts w:ascii="微软雅黑" w:eastAsia="微软雅黑" w:hAnsi="微软雅黑" w:cs="Tahoma"/>
          <w:color w:val="666666"/>
          <w:kern w:val="0"/>
          <w:sz w:val="24"/>
          <w:szCs w:val="24"/>
        </w:rPr>
        <w:t>。</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建设项目的环境影响评价分类管理名录，由国务院生态环境主管部门制定并公布。</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C86BF7">
        <w:rPr>
          <w:rFonts w:ascii="微软雅黑" w:eastAsia="微软雅黑" w:hAnsi="微软雅黑" w:cs="Tahoma"/>
          <w:kern w:val="0"/>
          <w:sz w:val="24"/>
          <w:szCs w:val="24"/>
        </w:rPr>
        <w:t>第十七条</w:t>
      </w:r>
      <w:r w:rsidRPr="00AC0854">
        <w:rPr>
          <w:rFonts w:ascii="微软雅黑" w:eastAsia="微软雅黑" w:hAnsi="微软雅黑" w:cs="Tahoma"/>
          <w:color w:val="666666"/>
          <w:kern w:val="0"/>
          <w:sz w:val="24"/>
          <w:szCs w:val="24"/>
        </w:rPr>
        <w:t> </w:t>
      </w:r>
      <w:r w:rsidRPr="00273394">
        <w:rPr>
          <w:rFonts w:ascii="微软雅黑" w:eastAsia="微软雅黑" w:hAnsi="微软雅黑" w:cs="Tahoma"/>
          <w:color w:val="FF0000"/>
          <w:kern w:val="0"/>
          <w:sz w:val="24"/>
          <w:szCs w:val="24"/>
        </w:rPr>
        <w:t>建设项目的环境影响报告书应当包括下列内容：</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(一)建设项目概况;</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(二)建设项目周围环境现状;</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(三)建设项目对环境可能造成影响的分析、预测和评估;</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(四)建设项目环境保护措施及其技术、经济论证;</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(五)建设项目对环境影响的经济损益分析;</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(六)对建设项目实施环境监测的建议;</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273394">
        <w:rPr>
          <w:rFonts w:ascii="微软雅黑" w:eastAsia="微软雅黑" w:hAnsi="微软雅黑" w:cs="Tahoma"/>
          <w:color w:val="FF0000"/>
          <w:kern w:val="0"/>
          <w:sz w:val="24"/>
          <w:szCs w:val="24"/>
        </w:rPr>
        <w:t>(七)环境影响评价的结论。</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环境影响报告表和环境影响登记表的内容和格式，由国务院生态环境主管部门制定。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第十八条 建设项目的环境影响评价，应当避免与规划的环境影响评价相重复。</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作为一项整体建设项目的规划，按照建设项目进行环境影响评价，不进行规划的环境影响评价。</w:t>
      </w:r>
    </w:p>
    <w:p w:rsidR="002A25BD" w:rsidRPr="00273394" w:rsidRDefault="002A25BD" w:rsidP="002A25BD">
      <w:pPr>
        <w:widowControl/>
        <w:spacing w:after="375" w:line="600" w:lineRule="atLeast"/>
        <w:ind w:firstLine="480"/>
        <w:jc w:val="left"/>
        <w:rPr>
          <w:rFonts w:ascii="微软雅黑" w:eastAsia="微软雅黑" w:hAnsi="微软雅黑" w:cs="Tahoma"/>
          <w:color w:val="FF0000"/>
          <w:kern w:val="0"/>
          <w:sz w:val="24"/>
          <w:szCs w:val="24"/>
        </w:rPr>
      </w:pPr>
      <w:r w:rsidRPr="00273394">
        <w:rPr>
          <w:rFonts w:ascii="微软雅黑" w:eastAsia="微软雅黑" w:hAnsi="微软雅黑" w:cs="Tahoma"/>
          <w:color w:val="FF0000"/>
          <w:kern w:val="0"/>
          <w:sz w:val="24"/>
          <w:szCs w:val="24"/>
        </w:rPr>
        <w:t>已经进行了环境影响评价的规划包含具体建设项目的，规划的环境影响评价结论应当作为建设项目环境影响评价的重要依据，建设项目环境影响评价的内容应当根据规划的环境影响评价审查意见予以简化。</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第十九条</w:t>
      </w:r>
      <w:r w:rsidRPr="00EB3C1E">
        <w:rPr>
          <w:rFonts w:ascii="微软雅黑" w:eastAsia="微软雅黑" w:hAnsi="微软雅黑" w:cs="Tahoma"/>
          <w:color w:val="FF0000"/>
          <w:kern w:val="0"/>
          <w:sz w:val="24"/>
          <w:szCs w:val="24"/>
        </w:rPr>
        <w:t> 建设单位可以委托技术单位对其建设项目开展环境影响评价，编制建设项目环境影响报告书、环境影响报告表;建设单位具备环境影响评价技术能力的，可以自行对其建设项目开展环境影响评价，编制建设项目环境影响报告书、环境影响报告表。</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编制建设项目环境影响报告书、环境影响报告表应当遵守国家有关环境影响评价标准、技术规范等规定。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国务院生态环境主管部门应当制定建设项目环境影响报告书、环境影响报告表编制的能力建设指南和监管办法。</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接受委托为建设单位编制建设项目环境影响报告书、环境影响报告表的技术单位，不得与负责审批建设项目环境影响报告书、环境影响报告表的生态环境主管部门或者其他有关审批部门存在任何利益关系。</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第二十条 建设单位应当对建设项目环境影响报告书、环境影响报告表的内容和结论负责，接受委托编制建设项目环境影响报告书、环境影响报告表的技术单位对其编制的建设项目环境影响报告书、环境影响报告表承担相应责任。</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设区的市级以上人民政府生态环境主管部门应当加强对建设项目环境影响报告书、环境影响报告表编制单位的监督管理和质量考核。</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负责审批建设项目环境影响报告书、环境影响报告表的生态环境主管部门应当将编制单位、编制主持人和主要编制人员的相关违法信息记入社会诚信档案，并纳入全国信用信息共享平台和国家企业信用信息公示系统向社会公布。</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任何单位和个人不得为建设单位指定编制建设项目环境影响报告书、环境影响报告表的技术单位。</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第二十一条 除国家规定需要保密的情形外，对环境可能造成重大影响、应当编制环境影响报告书的建设项目，建设单位应当在报批建设项目环境影响报告书前，举行论证会、听证会，或者采取其他形式，征求有关单位、专家和公众的意见。</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建设单位报批的环境影响报告书应当附具对有关单位、专家和公众的意见采纳或者不采纳的说明。</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第二十二条 建设项目的环境影响报告书、报告表，由建设单位按照国务院的规定报有审批权的生态环境主管部门审批。</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海洋工程建设项目的海洋环境影响报告书的审批，依照《中华人民共和国海洋环境保护法》的规定办理。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审批部门应当自收到环境影响报告书之日起六十日内，收到环境影响报告表之日起三十日内，分别作出审批决定并书面通知建设单位。</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国家对环境影响登记表实行备案管理。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审核、审批建设项目环境影响报告书、报告表以及备案环境影响登记表，不得收取任何费用。</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第二十三条 国务院生态环境主管部门负责审批下列建设项目的环境影响评价文件：</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(一)核设施、绝密工程等特殊性质的建设项目;</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(二)跨省、自治区、直辖市行政区域的建设项目;</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(三)由国务院审批的或者由国务院授权有关部门审批的建设项目。</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前款规定以外的建设项目的环境影响评价文件的审批权限，由省、自治区、直辖市人民政府规定。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建设项目可能造成跨行政区域的不良环境影响，有关生态环境主管部门对该项目的环境影响评价结论有争议的，其环境影响评价文件由共同的上一级生态环境主管部门审批。</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第二十四条</w:t>
      </w:r>
      <w:r w:rsidRPr="00AC0854">
        <w:rPr>
          <w:rFonts w:ascii="微软雅黑" w:eastAsia="微软雅黑" w:hAnsi="微软雅黑" w:cs="Tahoma"/>
          <w:color w:val="666666"/>
          <w:kern w:val="0"/>
          <w:sz w:val="24"/>
          <w:szCs w:val="24"/>
        </w:rPr>
        <w:t> </w:t>
      </w:r>
      <w:r w:rsidRPr="00816B05">
        <w:rPr>
          <w:rFonts w:ascii="微软雅黑" w:eastAsia="微软雅黑" w:hAnsi="微软雅黑" w:cs="Tahoma"/>
          <w:color w:val="FF0000"/>
          <w:kern w:val="0"/>
          <w:sz w:val="24"/>
          <w:szCs w:val="24"/>
        </w:rPr>
        <w:t>建设项目的环境影响评价文件经批准后，建设项目的性质、规模、地点、采用的生产工艺或者防治污染、防止生态破坏的措施发生重大变动的，建设单位应当重新报批建设项目的环境影响评价文件。</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816B05">
        <w:rPr>
          <w:rFonts w:ascii="微软雅黑" w:eastAsia="微软雅黑" w:hAnsi="微软雅黑" w:cs="Tahoma"/>
          <w:color w:val="FF0000"/>
          <w:kern w:val="0"/>
          <w:sz w:val="24"/>
          <w:szCs w:val="24"/>
        </w:rPr>
        <w:t>建设项目的环境影响评价文件自批准之日起超过五年，方决定该项目开工建设的，其环境影响评价文件应当报原审批部门重新审核</w:t>
      </w:r>
      <w:r w:rsidRPr="00C86BF7">
        <w:rPr>
          <w:rFonts w:ascii="微软雅黑" w:eastAsia="微软雅黑" w:hAnsi="微软雅黑" w:cs="Tahoma"/>
          <w:kern w:val="0"/>
          <w:sz w:val="24"/>
          <w:szCs w:val="24"/>
        </w:rPr>
        <w:t>;原审批部门应当自收到建设项目环境影响评价文件之日起十日内，将审核意见书面通知建设单位。</w:t>
      </w:r>
    </w:p>
    <w:p w:rsidR="002A25BD" w:rsidRPr="00AC0854" w:rsidRDefault="002A25BD" w:rsidP="002A25BD">
      <w:pPr>
        <w:widowControl/>
        <w:spacing w:after="375" w:line="600" w:lineRule="atLeast"/>
        <w:ind w:firstLine="480"/>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第二十五条</w:t>
      </w:r>
      <w:r w:rsidRPr="00AC0854">
        <w:rPr>
          <w:rFonts w:ascii="微软雅黑" w:eastAsia="微软雅黑" w:hAnsi="微软雅黑" w:cs="Tahoma"/>
          <w:color w:val="666666"/>
          <w:kern w:val="0"/>
          <w:sz w:val="24"/>
          <w:szCs w:val="24"/>
        </w:rPr>
        <w:t> </w:t>
      </w:r>
      <w:r w:rsidRPr="00816B05">
        <w:rPr>
          <w:rFonts w:ascii="微软雅黑" w:eastAsia="微软雅黑" w:hAnsi="微软雅黑" w:cs="Tahoma"/>
          <w:color w:val="FF0000"/>
          <w:kern w:val="0"/>
          <w:sz w:val="24"/>
          <w:szCs w:val="24"/>
        </w:rPr>
        <w:t>建设项目的环境影响评价文件未依法经审批部门审查或者审查后未予批准的，建设单位不得开工建设</w:t>
      </w:r>
      <w:r w:rsidRPr="00AC0854">
        <w:rPr>
          <w:rFonts w:ascii="微软雅黑" w:eastAsia="微软雅黑" w:hAnsi="微软雅黑" w:cs="Tahoma"/>
          <w:color w:val="666666"/>
          <w:kern w:val="0"/>
          <w:sz w:val="24"/>
          <w:szCs w:val="24"/>
        </w:rPr>
        <w:t>。</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第二十六条 建设项目建设过程中，建设单位应当同时实施环境影响报告书、环境影响报告表以及环境影响评价文件审批部门审批意见中提出的环境保护对策措施。</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第二十七条 在项目建设、运行过程中产生不符合经审批的环境影响评价文件的情形的，建设单位应当组织环境影响的后评价，采取改进措施，并报原环境</w:t>
      </w:r>
      <w:r w:rsidRPr="00C86BF7">
        <w:rPr>
          <w:rFonts w:ascii="微软雅黑" w:eastAsia="微软雅黑" w:hAnsi="微软雅黑" w:cs="Tahoma"/>
          <w:kern w:val="0"/>
          <w:sz w:val="24"/>
          <w:szCs w:val="24"/>
        </w:rPr>
        <w:lastRenderedPageBreak/>
        <w:t>影响评价文件审批部门和建设项目审批部门备案;原环境影响评价文件审批部门也可以责成建设单位进行环境影响的后评价，采取改进措施。</w:t>
      </w:r>
    </w:p>
    <w:p w:rsidR="002A25BD" w:rsidRPr="00C86BF7" w:rsidRDefault="002A25BD" w:rsidP="002A25BD">
      <w:pPr>
        <w:widowControl/>
        <w:spacing w:after="375" w:line="600" w:lineRule="atLeast"/>
        <w:ind w:firstLine="480"/>
        <w:jc w:val="left"/>
        <w:rPr>
          <w:rFonts w:ascii="Tahoma" w:eastAsia="宋体" w:hAnsi="Tahoma" w:cs="Tahoma"/>
          <w:kern w:val="0"/>
          <w:sz w:val="24"/>
          <w:szCs w:val="24"/>
        </w:rPr>
      </w:pPr>
      <w:r w:rsidRPr="00C86BF7">
        <w:rPr>
          <w:rFonts w:ascii="微软雅黑" w:eastAsia="微软雅黑" w:hAnsi="微软雅黑" w:cs="Tahoma"/>
          <w:kern w:val="0"/>
          <w:sz w:val="24"/>
          <w:szCs w:val="24"/>
        </w:rPr>
        <w:t>第二十八条 生态环境主管部门应当对建设项目投入生产或者使用后所产生的环境影响进行跟踪检查，对造成严重环境污染或者生态破坏的，应当查清原因、查明责任。对属于建设项目环境影响报告书、环境影响报告表存在基础资料明显不实，内容存在重大缺陷、遗漏或者虚假，环境影响评价结论不正确或者不合理等严重质量问题的，依照本法第三十二条的规定追究建设单位及其相关责任人员和接受委托编制建设项目环境影响报告书、环境影响报告表的技术单位及其相关人员的法律责任;属于审批部门工作人员失职、渎职，对依法不应批准的建设项目环境影响报告书、环境影响报告表予以批准的，依照本法第三十四条的规定追究其法律责任。</w:t>
      </w:r>
    </w:p>
    <w:p w:rsidR="002A25BD" w:rsidRPr="00C86BF7" w:rsidRDefault="002A25BD" w:rsidP="002A25BD">
      <w:pPr>
        <w:widowControl/>
        <w:spacing w:after="525" w:line="450" w:lineRule="atLeast"/>
        <w:jc w:val="left"/>
        <w:outlineLvl w:val="2"/>
        <w:rPr>
          <w:rFonts w:ascii="微软雅黑" w:eastAsia="微软雅黑" w:hAnsi="微软雅黑" w:cs="Tahoma"/>
          <w:kern w:val="0"/>
          <w:sz w:val="30"/>
          <w:szCs w:val="30"/>
        </w:rPr>
      </w:pPr>
      <w:bookmarkStart w:id="3" w:name="第四章_法律责任"/>
      <w:bookmarkEnd w:id="3"/>
      <w:r w:rsidRPr="00C86BF7">
        <w:rPr>
          <w:rFonts w:ascii="微软雅黑" w:eastAsia="微软雅黑" w:hAnsi="微软雅黑" w:cs="Tahoma"/>
          <w:kern w:val="0"/>
          <w:sz w:val="30"/>
          <w:szCs w:val="30"/>
        </w:rPr>
        <w:t>第四章 法律责任</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第二十九条 规划编制机关违反本法规定，未组织环境影响评价，或者组织环境影响评价时弄虚作假或者有失职行为，造成环境影响评价严重失实的，对直接负责的主管人员和其他直接责任人员，由上级机关或者监察机关依法给予行政处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第三十条 规划审批机关对依法应当编写有关环境影响的篇章或者说明而未编写的规划草案，依法应当附送环境影响报告书而未附送的专项规划草案，违法</w:t>
      </w:r>
      <w:r w:rsidRPr="00C86BF7">
        <w:rPr>
          <w:rFonts w:ascii="微软雅黑" w:eastAsia="微软雅黑" w:hAnsi="微软雅黑" w:cs="Tahoma"/>
          <w:kern w:val="0"/>
          <w:sz w:val="24"/>
          <w:szCs w:val="24"/>
        </w:rPr>
        <w:lastRenderedPageBreak/>
        <w:t>予以批准的，对直接负责的主管人员和其他直接责任人员，由上级机关或者监察机关依法给予行政处分。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第三十一条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建设项目环境影响报告书、报告表未经批准或者未经原审批部门重新审核同意，建设单位擅自开工建设的，依照前款的规定处罚、处分。</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建设单位未依法备案建设项目环境影响登记表的，由县级以上生态环境主管部门责令备案，处五万元以下的罚款。</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海洋工程建设项目的建设单位有本条所列违法行为的，依照《中华人民共和国海洋环境保护法》的规定处罚。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第三十二条 建设项目环境影响报告书、环境影响报告表存在基础资料明显不实，内容存在重大缺陷、遗漏或者虚假，环境影响评价结论不正确或者不合理等严重质量问题的，由设区的市级以上人民政府生态环境主管部门对建设单位处五十万元以上二百万元以下的罚款，并对建设单位的法定代表人、主要负责人、直接负责的主管人员和其他直接责任人员，处五万元以上二十万元以下的罚款。</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接受委托编制建设项目环境影响报告书、环境影响报告表的技术单位违反国家有关环境影响评价标准和技术规范等规定，致使其编制的建设项目环境影响报告书、环境影响报告表存在基础资料明显不实，内容存在重大缺陷、遗漏或者虚假，环境影响评价结论不正确或者不合理等严重质量问题的，由设区的市级以上人民政府生态环境主管部门对技术单位处所收费用三倍以上五倍以下的罚款;情节严重的，禁止从事环境影响报告书、环境影响报告表编制工作;有违法所得的，没收违法所得。</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编制单位有本条第一款、第二款规定的违法行为的，编制主持人和主要编制人员五年内禁止从事环境影响报告书、环境影响报告表编制工作;构成犯罪的，依法追究刑事责任，并终身禁止从事环境影响报告书、环境影响报告表编制工作。</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第三十三条 负责审核、审批、备案建设项目环境影响评价文件的部门在审批、备案中收取费用的，由其上级机关或者监察机关责令退还;情节严重的，对直接负责的主管人员和其他直接责任人员依法给予行政处分。</w:t>
      </w:r>
    </w:p>
    <w:p w:rsidR="002A25BD" w:rsidRPr="00C86BF7" w:rsidRDefault="002A25BD" w:rsidP="002A25BD">
      <w:pPr>
        <w:widowControl/>
        <w:spacing w:after="375" w:line="600" w:lineRule="atLeast"/>
        <w:ind w:firstLine="480"/>
        <w:jc w:val="left"/>
        <w:rPr>
          <w:rFonts w:ascii="Tahoma" w:eastAsia="宋体" w:hAnsi="Tahoma" w:cs="Tahoma"/>
          <w:kern w:val="0"/>
          <w:sz w:val="24"/>
          <w:szCs w:val="24"/>
        </w:rPr>
      </w:pPr>
      <w:r w:rsidRPr="00C86BF7">
        <w:rPr>
          <w:rFonts w:ascii="微软雅黑" w:eastAsia="微软雅黑" w:hAnsi="微软雅黑" w:cs="Tahoma"/>
          <w:kern w:val="0"/>
          <w:sz w:val="24"/>
          <w:szCs w:val="24"/>
        </w:rPr>
        <w:t>第三十四条 生态环境主管部门或者其他部门的工作人员徇私舞弊，滥用职权，玩忽职守，违法批准建设项目环境影响评价文件的，依法给予行政处分;构成犯罪的，依法追究刑事责任。</w:t>
      </w:r>
    </w:p>
    <w:p w:rsidR="002A25BD" w:rsidRPr="00C86BF7" w:rsidRDefault="002A25BD" w:rsidP="002A25BD">
      <w:pPr>
        <w:widowControl/>
        <w:spacing w:after="525" w:line="450" w:lineRule="atLeast"/>
        <w:jc w:val="left"/>
        <w:outlineLvl w:val="2"/>
        <w:rPr>
          <w:rFonts w:ascii="微软雅黑" w:eastAsia="微软雅黑" w:hAnsi="微软雅黑" w:cs="Tahoma"/>
          <w:kern w:val="0"/>
          <w:sz w:val="30"/>
          <w:szCs w:val="30"/>
        </w:rPr>
      </w:pPr>
      <w:bookmarkStart w:id="4" w:name="第五章_附则"/>
      <w:bookmarkEnd w:id="4"/>
      <w:r w:rsidRPr="00C86BF7">
        <w:rPr>
          <w:rFonts w:ascii="微软雅黑" w:eastAsia="微软雅黑" w:hAnsi="微软雅黑" w:cs="Tahoma"/>
          <w:kern w:val="0"/>
          <w:sz w:val="30"/>
          <w:szCs w:val="30"/>
        </w:rPr>
        <w:t>第五章 附则</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lastRenderedPageBreak/>
        <w:t>第三十五条 省、自治区、直辖市人民政府可以根据本地的实际情况，要求对本辖区的县级人民政府编制的规划进行环境影响评价。具体办法由省、自治区、直辖市参照本法第二章的规定制定。</w:t>
      </w:r>
    </w:p>
    <w:p w:rsidR="002A25BD" w:rsidRPr="00C86BF7" w:rsidRDefault="002A25BD" w:rsidP="002A25BD">
      <w:pPr>
        <w:widowControl/>
        <w:spacing w:after="375" w:line="600" w:lineRule="atLeast"/>
        <w:ind w:firstLine="480"/>
        <w:jc w:val="left"/>
        <w:rPr>
          <w:rFonts w:ascii="微软雅黑" w:eastAsia="微软雅黑" w:hAnsi="微软雅黑" w:cs="Tahoma"/>
          <w:kern w:val="0"/>
          <w:sz w:val="24"/>
          <w:szCs w:val="24"/>
        </w:rPr>
      </w:pPr>
      <w:r w:rsidRPr="00C86BF7">
        <w:rPr>
          <w:rFonts w:ascii="微软雅黑" w:eastAsia="微软雅黑" w:hAnsi="微软雅黑" w:cs="Tahoma"/>
          <w:kern w:val="0"/>
          <w:sz w:val="24"/>
          <w:szCs w:val="24"/>
        </w:rPr>
        <w:t>第三十六条 军事设施建设项目的环境影响评价办法，由中央军事委员会依照本法的原则制定。</w:t>
      </w:r>
    </w:p>
    <w:p w:rsidR="00EA74A0" w:rsidRDefault="002A25BD">
      <w:pPr>
        <w:widowControl/>
        <w:jc w:val="left"/>
        <w:rPr>
          <w:rFonts w:ascii="微软雅黑" w:eastAsia="微软雅黑" w:hAnsi="微软雅黑" w:cs="Tahoma"/>
          <w:color w:val="666666"/>
          <w:kern w:val="0"/>
          <w:sz w:val="24"/>
          <w:szCs w:val="24"/>
        </w:rPr>
      </w:pPr>
      <w:r w:rsidRPr="00C86BF7">
        <w:rPr>
          <w:rFonts w:ascii="微软雅黑" w:eastAsia="微软雅黑" w:hAnsi="微软雅黑" w:cs="Tahoma"/>
          <w:kern w:val="0"/>
          <w:sz w:val="24"/>
          <w:szCs w:val="24"/>
        </w:rPr>
        <w:t>第三十七条 本法自2003年9月1日起施行。</w:t>
      </w:r>
      <w:r w:rsidR="00EA74A0">
        <w:rPr>
          <w:rFonts w:ascii="微软雅黑" w:eastAsia="微软雅黑" w:hAnsi="微软雅黑" w:cs="Tahoma"/>
          <w:color w:val="666666"/>
          <w:kern w:val="0"/>
          <w:sz w:val="24"/>
          <w:szCs w:val="24"/>
        </w:rPr>
        <w:br w:type="page"/>
      </w:r>
    </w:p>
    <w:p w:rsidR="00EA74A0" w:rsidRPr="00D8571C" w:rsidRDefault="00EA74A0" w:rsidP="00EA74A0">
      <w:pPr>
        <w:widowControl/>
        <w:shd w:val="clear" w:color="auto" w:fill="FFFFFF"/>
        <w:spacing w:line="360" w:lineRule="atLeast"/>
        <w:ind w:left="120" w:right="120"/>
        <w:jc w:val="center"/>
        <w:rPr>
          <w:rFonts w:ascii="Microsoft YaHei UI" w:eastAsia="Microsoft YaHei UI" w:hAnsi="Microsoft YaHei UI" w:cs="宋体"/>
          <w:color w:val="000000"/>
          <w:spacing w:val="8"/>
          <w:kern w:val="0"/>
          <w:sz w:val="27"/>
          <w:szCs w:val="27"/>
        </w:rPr>
      </w:pPr>
      <w:r>
        <w:rPr>
          <w:noProof/>
        </w:rPr>
        <w:lastRenderedPageBreak/>
        <w:drawing>
          <wp:inline distT="0" distB="0" distL="0" distR="0">
            <wp:extent cx="5274310" cy="2966720"/>
            <wp:effectExtent l="0" t="0" r="2540" b="5080"/>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2966720"/>
                    </a:xfrm>
                    <a:prstGeom prst="rect">
                      <a:avLst/>
                    </a:prstGeom>
                    <a:noFill/>
                    <a:ln>
                      <a:noFill/>
                    </a:ln>
                  </pic:spPr>
                </pic:pic>
              </a:graphicData>
            </a:graphic>
          </wp:inline>
        </w:drawing>
      </w:r>
      <w:r w:rsidRPr="00D8571C">
        <w:rPr>
          <w:rFonts w:ascii="Microsoft YaHei UI" w:eastAsia="Microsoft YaHei UI" w:hAnsi="Microsoft YaHei UI" w:cs="宋体" w:hint="eastAsia"/>
          <w:b/>
          <w:bCs/>
          <w:color w:val="D92142"/>
          <w:spacing w:val="8"/>
          <w:kern w:val="0"/>
          <w:sz w:val="18"/>
          <w:szCs w:val="18"/>
        </w:rPr>
        <w:t>▲ </w:t>
      </w:r>
      <w:r w:rsidRPr="00D8571C">
        <w:rPr>
          <w:rFonts w:ascii="Microsoft YaHei UI" w:eastAsia="Microsoft YaHei UI" w:hAnsi="Microsoft YaHei UI" w:cs="宋体" w:hint="eastAsia"/>
          <w:b/>
          <w:bCs/>
          <w:color w:val="3E3E3E"/>
          <w:spacing w:val="8"/>
          <w:kern w:val="0"/>
          <w:sz w:val="18"/>
          <w:szCs w:val="18"/>
        </w:rPr>
        <w:t>长按关注，</w:t>
      </w:r>
      <w:r>
        <w:rPr>
          <w:rFonts w:ascii="Microsoft YaHei UI" w:eastAsia="Microsoft YaHei UI" w:hAnsi="Microsoft YaHei UI" w:cs="宋体" w:hint="eastAsia"/>
          <w:b/>
          <w:bCs/>
          <w:color w:val="3E3E3E"/>
          <w:spacing w:val="8"/>
          <w:kern w:val="0"/>
          <w:sz w:val="18"/>
          <w:szCs w:val="18"/>
        </w:rPr>
        <w:t>获取更多实用安全知识</w:t>
      </w:r>
    </w:p>
    <w:p w:rsidR="00EA74A0" w:rsidRPr="002C4401" w:rsidRDefault="00EA74A0" w:rsidP="00EA74A0">
      <w:pPr>
        <w:widowControl/>
        <w:jc w:val="center"/>
        <w:rPr>
          <w:rFonts w:ascii="宋体" w:eastAsia="宋体" w:hAnsi="宋体" w:cs="宋体"/>
          <w:kern w:val="0"/>
          <w:sz w:val="24"/>
          <w:szCs w:val="24"/>
        </w:rPr>
      </w:pPr>
      <w:r w:rsidRPr="002C4401">
        <w:rPr>
          <w:rFonts w:ascii="宋体" w:eastAsia="宋体" w:hAnsi="宋体" w:cs="宋体"/>
          <w:noProof/>
          <w:kern w:val="0"/>
          <w:sz w:val="24"/>
          <w:szCs w:val="24"/>
        </w:rPr>
        <w:drawing>
          <wp:inline distT="0" distB="0" distL="0" distR="0">
            <wp:extent cx="3272244" cy="2125028"/>
            <wp:effectExtent l="0" t="0" r="4445" b="889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82007" cy="2131368"/>
                    </a:xfrm>
                    <a:prstGeom prst="rect">
                      <a:avLst/>
                    </a:prstGeom>
                    <a:noFill/>
                    <a:ln>
                      <a:noFill/>
                    </a:ln>
                  </pic:spPr>
                </pic:pic>
              </a:graphicData>
            </a:graphic>
          </wp:inline>
        </w:drawing>
      </w:r>
    </w:p>
    <w:p w:rsidR="00EA74A0" w:rsidRPr="00C86BF7" w:rsidRDefault="00EA74A0" w:rsidP="00EA74A0">
      <w:pPr>
        <w:widowControl/>
        <w:shd w:val="clear" w:color="auto" w:fill="FFFFFF"/>
        <w:spacing w:line="360" w:lineRule="atLeast"/>
        <w:ind w:left="120" w:right="120"/>
        <w:jc w:val="center"/>
        <w:rPr>
          <w:rFonts w:ascii="Microsoft YaHei UI" w:eastAsia="Microsoft YaHei UI" w:hAnsi="Microsoft YaHei UI" w:cs="宋体"/>
          <w:b/>
          <w:bCs/>
          <w:spacing w:val="8"/>
          <w:kern w:val="0"/>
          <w:sz w:val="20"/>
          <w:szCs w:val="20"/>
        </w:rPr>
      </w:pPr>
      <w:r w:rsidRPr="00C86BF7">
        <w:rPr>
          <w:rFonts w:ascii="Microsoft YaHei UI" w:eastAsia="Microsoft YaHei UI" w:hAnsi="Microsoft YaHei UI" w:cs="宋体" w:hint="eastAsia"/>
          <w:b/>
          <w:bCs/>
          <w:spacing w:val="8"/>
          <w:kern w:val="0"/>
          <w:sz w:val="20"/>
          <w:szCs w:val="20"/>
        </w:rPr>
        <w:t>安全咨询 </w:t>
      </w:r>
      <w:r w:rsidRPr="00C86BF7">
        <w:rPr>
          <w:rFonts w:ascii="Microsoft YaHei UI" w:eastAsia="Microsoft YaHei UI" w:hAnsi="Microsoft YaHei UI" w:cs="宋体" w:hint="eastAsia"/>
          <w:spacing w:val="8"/>
          <w:kern w:val="0"/>
          <w:sz w:val="20"/>
          <w:szCs w:val="20"/>
        </w:rPr>
        <w:t>| </w:t>
      </w:r>
      <w:r w:rsidRPr="00C86BF7">
        <w:rPr>
          <w:rFonts w:ascii="Microsoft YaHei UI" w:eastAsia="Microsoft YaHei UI" w:hAnsi="Microsoft YaHei UI" w:cs="宋体" w:hint="eastAsia"/>
          <w:b/>
          <w:bCs/>
          <w:spacing w:val="8"/>
          <w:kern w:val="0"/>
          <w:sz w:val="20"/>
          <w:szCs w:val="20"/>
        </w:rPr>
        <w:t>安全培训 </w:t>
      </w:r>
      <w:r w:rsidRPr="00C86BF7">
        <w:rPr>
          <w:rFonts w:ascii="Microsoft YaHei UI" w:eastAsia="Microsoft YaHei UI" w:hAnsi="Microsoft YaHei UI" w:cs="宋体" w:hint="eastAsia"/>
          <w:spacing w:val="8"/>
          <w:kern w:val="0"/>
          <w:sz w:val="20"/>
          <w:szCs w:val="20"/>
        </w:rPr>
        <w:t>|</w:t>
      </w:r>
      <w:r w:rsidRPr="00C86BF7">
        <w:rPr>
          <w:rFonts w:ascii="Microsoft YaHei UI" w:eastAsia="Microsoft YaHei UI" w:hAnsi="Microsoft YaHei UI" w:cs="宋体" w:hint="eastAsia"/>
          <w:b/>
          <w:bCs/>
          <w:spacing w:val="8"/>
          <w:kern w:val="0"/>
          <w:sz w:val="20"/>
          <w:szCs w:val="20"/>
        </w:rPr>
        <w:t> 线上平台 | 安全产品</w:t>
      </w:r>
    </w:p>
    <w:p w:rsidR="00D10ED2" w:rsidRPr="00EA74A0" w:rsidRDefault="00EA74A0" w:rsidP="00EA74A0">
      <w:pPr>
        <w:widowControl/>
        <w:shd w:val="clear" w:color="auto" w:fill="FFFFFF"/>
        <w:spacing w:line="360" w:lineRule="atLeast"/>
        <w:ind w:left="120" w:right="120"/>
        <w:jc w:val="center"/>
        <w:rPr>
          <w:rFonts w:ascii="Microsoft YaHei UI" w:eastAsia="Microsoft YaHei UI" w:hAnsi="Microsoft YaHei UI" w:cs="宋体"/>
          <w:color w:val="000000"/>
          <w:spacing w:val="8"/>
          <w:kern w:val="0"/>
          <w:sz w:val="27"/>
          <w:szCs w:val="27"/>
        </w:rPr>
      </w:pPr>
      <w:r w:rsidRPr="00C86BF7">
        <w:rPr>
          <w:rFonts w:ascii="Microsoft YaHei UI" w:eastAsia="Microsoft YaHei UI" w:hAnsi="Microsoft YaHei UI" w:cs="宋体" w:hint="eastAsia"/>
          <w:spacing w:val="8"/>
          <w:kern w:val="0"/>
          <w:sz w:val="20"/>
          <w:szCs w:val="20"/>
        </w:rPr>
        <w:t>请在公众号后台回复</w:t>
      </w:r>
      <w:r w:rsidRPr="00D8571C">
        <w:rPr>
          <w:rFonts w:ascii="Microsoft YaHei UI" w:eastAsia="Microsoft YaHei UI" w:hAnsi="Microsoft YaHei UI" w:cs="宋体" w:hint="eastAsia"/>
          <w:color w:val="888888"/>
          <w:spacing w:val="8"/>
          <w:kern w:val="0"/>
          <w:sz w:val="20"/>
          <w:szCs w:val="20"/>
        </w:rPr>
        <w:t> </w:t>
      </w:r>
      <w:r w:rsidRPr="00D8571C">
        <w:rPr>
          <w:rFonts w:ascii="Microsoft YaHei UI" w:eastAsia="Microsoft YaHei UI" w:hAnsi="Microsoft YaHei UI" w:cs="宋体" w:hint="eastAsia"/>
          <w:b/>
          <w:bCs/>
          <w:color w:val="FFFFFF"/>
          <w:spacing w:val="8"/>
          <w:kern w:val="0"/>
          <w:sz w:val="20"/>
          <w:szCs w:val="20"/>
          <w:shd w:val="clear" w:color="auto" w:fill="D92142"/>
        </w:rPr>
        <w:t> 合作 </w:t>
      </w:r>
    </w:p>
    <w:sectPr w:rsidR="00D10ED2" w:rsidRPr="00EA74A0" w:rsidSect="006875E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63DC" w:rsidRDefault="00CF63DC" w:rsidP="002A25BD">
      <w:r>
        <w:separator/>
      </w:r>
    </w:p>
  </w:endnote>
  <w:endnote w:type="continuationSeparator" w:id="1">
    <w:p w:rsidR="00CF63DC" w:rsidRDefault="00CF63DC" w:rsidP="002A25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63DC" w:rsidRDefault="00CF63DC" w:rsidP="002A25BD">
      <w:r>
        <w:separator/>
      </w:r>
    </w:p>
  </w:footnote>
  <w:footnote w:type="continuationSeparator" w:id="1">
    <w:p w:rsidR="00CF63DC" w:rsidRDefault="00CF63DC" w:rsidP="002A25B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E24433"/>
    <w:multiLevelType w:val="multilevel"/>
    <w:tmpl w:val="18305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E724F5"/>
    <w:multiLevelType w:val="multilevel"/>
    <w:tmpl w:val="98E65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A25BD"/>
    <w:rsid w:val="00094F86"/>
    <w:rsid w:val="00181026"/>
    <w:rsid w:val="00273394"/>
    <w:rsid w:val="002A25BD"/>
    <w:rsid w:val="006875E3"/>
    <w:rsid w:val="00790BB3"/>
    <w:rsid w:val="00816B05"/>
    <w:rsid w:val="00841CEF"/>
    <w:rsid w:val="008C33D5"/>
    <w:rsid w:val="00A03867"/>
    <w:rsid w:val="00AC0854"/>
    <w:rsid w:val="00C86BF7"/>
    <w:rsid w:val="00CF63DC"/>
    <w:rsid w:val="00D10ED2"/>
    <w:rsid w:val="00D6750C"/>
    <w:rsid w:val="00EA74A0"/>
    <w:rsid w:val="00EB3C1E"/>
    <w:rsid w:val="00FC05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5E3"/>
    <w:pPr>
      <w:widowControl w:val="0"/>
      <w:jc w:val="both"/>
    </w:pPr>
  </w:style>
  <w:style w:type="paragraph" w:styleId="1">
    <w:name w:val="heading 1"/>
    <w:basedOn w:val="a"/>
    <w:link w:val="1Char"/>
    <w:uiPriority w:val="9"/>
    <w:qFormat/>
    <w:rsid w:val="002A25BD"/>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Char"/>
    <w:uiPriority w:val="9"/>
    <w:qFormat/>
    <w:rsid w:val="002A25BD"/>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A25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A25BD"/>
    <w:rPr>
      <w:sz w:val="18"/>
      <w:szCs w:val="18"/>
    </w:rPr>
  </w:style>
  <w:style w:type="paragraph" w:styleId="a4">
    <w:name w:val="footer"/>
    <w:basedOn w:val="a"/>
    <w:link w:val="Char0"/>
    <w:uiPriority w:val="99"/>
    <w:semiHidden/>
    <w:unhideWhenUsed/>
    <w:rsid w:val="002A25B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2A25BD"/>
    <w:rPr>
      <w:sz w:val="18"/>
      <w:szCs w:val="18"/>
    </w:rPr>
  </w:style>
  <w:style w:type="character" w:customStyle="1" w:styleId="1Char">
    <w:name w:val="标题 1 Char"/>
    <w:basedOn w:val="a0"/>
    <w:link w:val="1"/>
    <w:uiPriority w:val="9"/>
    <w:rsid w:val="002A25BD"/>
    <w:rPr>
      <w:rFonts w:ascii="宋体" w:eastAsia="宋体" w:hAnsi="宋体" w:cs="宋体"/>
      <w:b/>
      <w:bCs/>
      <w:kern w:val="36"/>
      <w:sz w:val="48"/>
      <w:szCs w:val="48"/>
    </w:rPr>
  </w:style>
  <w:style w:type="character" w:customStyle="1" w:styleId="3Char">
    <w:name w:val="标题 3 Char"/>
    <w:basedOn w:val="a0"/>
    <w:link w:val="3"/>
    <w:uiPriority w:val="9"/>
    <w:rsid w:val="002A25BD"/>
    <w:rPr>
      <w:rFonts w:ascii="宋体" w:eastAsia="宋体" w:hAnsi="宋体" w:cs="宋体"/>
      <w:b/>
      <w:bCs/>
      <w:kern w:val="0"/>
      <w:sz w:val="27"/>
      <w:szCs w:val="27"/>
    </w:rPr>
  </w:style>
  <w:style w:type="character" w:styleId="a5">
    <w:name w:val="Hyperlink"/>
    <w:basedOn w:val="a0"/>
    <w:uiPriority w:val="99"/>
    <w:semiHidden/>
    <w:unhideWhenUsed/>
    <w:rsid w:val="002A25BD"/>
    <w:rPr>
      <w:color w:val="0000FF"/>
      <w:u w:val="single"/>
    </w:rPr>
  </w:style>
  <w:style w:type="paragraph" w:styleId="a6">
    <w:name w:val="Normal (Web)"/>
    <w:basedOn w:val="a"/>
    <w:uiPriority w:val="99"/>
    <w:semiHidden/>
    <w:unhideWhenUsed/>
    <w:rsid w:val="002A25BD"/>
    <w:pPr>
      <w:widowControl/>
      <w:spacing w:before="100" w:beforeAutospacing="1" w:after="100" w:afterAutospacing="1"/>
      <w:jc w:val="left"/>
    </w:pPr>
    <w:rPr>
      <w:rFonts w:ascii="宋体" w:eastAsia="宋体" w:hAnsi="宋体" w:cs="宋体"/>
      <w:kern w:val="0"/>
      <w:sz w:val="24"/>
      <w:szCs w:val="24"/>
    </w:rPr>
  </w:style>
  <w:style w:type="paragraph" w:styleId="a7">
    <w:name w:val="Balloon Text"/>
    <w:basedOn w:val="a"/>
    <w:link w:val="Char1"/>
    <w:uiPriority w:val="99"/>
    <w:semiHidden/>
    <w:unhideWhenUsed/>
    <w:rsid w:val="00EA74A0"/>
    <w:rPr>
      <w:sz w:val="18"/>
      <w:szCs w:val="18"/>
    </w:rPr>
  </w:style>
  <w:style w:type="character" w:customStyle="1" w:styleId="Char1">
    <w:name w:val="批注框文本 Char"/>
    <w:basedOn w:val="a0"/>
    <w:link w:val="a7"/>
    <w:uiPriority w:val="99"/>
    <w:semiHidden/>
    <w:rsid w:val="00EA74A0"/>
    <w:rPr>
      <w:sz w:val="18"/>
      <w:szCs w:val="18"/>
    </w:rPr>
  </w:style>
</w:styles>
</file>

<file path=word/webSettings.xml><?xml version="1.0" encoding="utf-8"?>
<w:webSettings xmlns:r="http://schemas.openxmlformats.org/officeDocument/2006/relationships" xmlns:w="http://schemas.openxmlformats.org/wordprocessingml/2006/main">
  <w:divs>
    <w:div w:id="944076081">
      <w:bodyDiv w:val="1"/>
      <w:marLeft w:val="0"/>
      <w:marRight w:val="0"/>
      <w:marTop w:val="0"/>
      <w:marBottom w:val="0"/>
      <w:divBdr>
        <w:top w:val="none" w:sz="0" w:space="0" w:color="auto"/>
        <w:left w:val="none" w:sz="0" w:space="0" w:color="auto"/>
        <w:bottom w:val="none" w:sz="0" w:space="0" w:color="auto"/>
        <w:right w:val="none" w:sz="0" w:space="0" w:color="auto"/>
      </w:divBdr>
      <w:divsChild>
        <w:div w:id="1791513438">
          <w:marLeft w:val="0"/>
          <w:marRight w:val="0"/>
          <w:marTop w:val="855"/>
          <w:marBottom w:val="0"/>
          <w:divBdr>
            <w:top w:val="none" w:sz="0" w:space="0" w:color="auto"/>
            <w:left w:val="none" w:sz="0" w:space="0" w:color="auto"/>
            <w:bottom w:val="none" w:sz="0" w:space="0" w:color="auto"/>
            <w:right w:val="none" w:sz="0" w:space="0" w:color="auto"/>
          </w:divBdr>
        </w:div>
        <w:div w:id="1219047628">
          <w:marLeft w:val="0"/>
          <w:marRight w:val="0"/>
          <w:marTop w:val="0"/>
          <w:marBottom w:val="0"/>
          <w:divBdr>
            <w:top w:val="none" w:sz="0" w:space="0" w:color="auto"/>
            <w:left w:val="none" w:sz="0" w:space="0" w:color="auto"/>
            <w:bottom w:val="none" w:sz="0" w:space="0" w:color="auto"/>
            <w:right w:val="none" w:sz="0" w:space="0" w:color="auto"/>
          </w:divBdr>
          <w:divsChild>
            <w:div w:id="1309434662">
              <w:marLeft w:val="0"/>
              <w:marRight w:val="0"/>
              <w:marTop w:val="0"/>
              <w:marBottom w:val="0"/>
              <w:divBdr>
                <w:top w:val="none" w:sz="0" w:space="0" w:color="auto"/>
                <w:left w:val="none" w:sz="0" w:space="0" w:color="auto"/>
                <w:bottom w:val="none" w:sz="0" w:space="0" w:color="auto"/>
                <w:right w:val="none" w:sz="0" w:space="0" w:color="auto"/>
              </w:divBdr>
            </w:div>
            <w:div w:id="677275964">
              <w:marLeft w:val="0"/>
              <w:marRight w:val="0"/>
              <w:marTop w:val="375"/>
              <w:marBottom w:val="0"/>
              <w:divBdr>
                <w:top w:val="none" w:sz="0" w:space="0" w:color="auto"/>
                <w:left w:val="none" w:sz="0" w:space="0" w:color="auto"/>
                <w:bottom w:val="none" w:sz="0" w:space="0" w:color="auto"/>
                <w:right w:val="none" w:sz="0" w:space="0" w:color="auto"/>
              </w:divBdr>
            </w:div>
          </w:divsChild>
        </w:div>
        <w:div w:id="567883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66law.cn/tiaoli/2.aspx"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923</Words>
  <Characters>5266</Characters>
  <Application>Microsoft Office Word</Application>
  <DocSecurity>0</DocSecurity>
  <Lines>43</Lines>
  <Paragraphs>12</Paragraphs>
  <ScaleCrop>false</ScaleCrop>
  <Company>微软中国</Company>
  <LinksUpToDate>false</LinksUpToDate>
  <CharactersWithSpaces>6177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个人用户</cp:lastModifiedBy>
  <cp:revision>11</cp:revision>
  <dcterms:created xsi:type="dcterms:W3CDTF">2020-03-09T06:32:00Z</dcterms:created>
  <dcterms:modified xsi:type="dcterms:W3CDTF">2020-03-09T07:26:00Z</dcterms:modified>
</cp:coreProperties>
</file>